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0379" w14:textId="3898A43D" w:rsidR="008C3D27" w:rsidRPr="00BA5828" w:rsidRDefault="00C76B79" w:rsidP="008C3D27">
      <w:pPr>
        <w:pBdr>
          <w:bottom w:val="single" w:sz="6" w:space="1" w:color="auto"/>
        </w:pBdr>
        <w:rPr>
          <w:rFonts w:ascii="Arial" w:hAnsi="Arial" w:cs="Arial"/>
          <w:sz w:val="44"/>
          <w:szCs w:val="44"/>
        </w:rPr>
      </w:pPr>
      <w:r>
        <w:rPr>
          <w:rFonts w:ascii="Arial" w:hAnsi="Arial" w:cs="Arial"/>
          <w:sz w:val="44"/>
          <w:szCs w:val="44"/>
        </w:rPr>
        <w:t>Journal of International Money and Finance</w:t>
      </w:r>
    </w:p>
    <w:p w14:paraId="0914FB4B" w14:textId="0AD83B2A" w:rsidR="008C3D27" w:rsidRPr="008C3D27" w:rsidRDefault="00C76B79" w:rsidP="008C3D27">
      <w:pPr>
        <w:rPr>
          <w:rFonts w:ascii="Arial" w:hAnsi="Arial" w:cs="Arial"/>
          <w:highlight w:val="yellow"/>
        </w:rPr>
      </w:pPr>
      <w:r>
        <w:rPr>
          <w:rFonts w:ascii="Arial" w:hAnsi="Arial" w:cs="Arial"/>
        </w:rPr>
        <w:t>February 2012</w:t>
      </w:r>
    </w:p>
    <w:p w14:paraId="39B75AE0" w14:textId="77777777" w:rsidR="00C76B79" w:rsidRDefault="00C76B79" w:rsidP="008C3D27">
      <w:pPr>
        <w:rPr>
          <w:rFonts w:ascii="Arial" w:hAnsi="Arial" w:cs="Arial"/>
          <w:sz w:val="44"/>
          <w:szCs w:val="44"/>
        </w:rPr>
      </w:pPr>
      <w:r w:rsidRPr="00C76B79">
        <w:rPr>
          <w:rFonts w:ascii="Arial" w:hAnsi="Arial" w:cs="Arial"/>
          <w:sz w:val="44"/>
          <w:szCs w:val="44"/>
        </w:rPr>
        <w:t>The US and Irish Credit Crises: Their Distinctive Differences and Common Features</w:t>
      </w:r>
    </w:p>
    <w:p w14:paraId="75B9A1B4" w14:textId="6462035F" w:rsidR="0089416F" w:rsidRDefault="00C76B79" w:rsidP="008C3D27">
      <w:pPr>
        <w:rPr>
          <w:rFonts w:ascii="Arial" w:hAnsi="Arial" w:cs="Arial"/>
          <w:sz w:val="20"/>
          <w:szCs w:val="20"/>
        </w:rPr>
      </w:pPr>
      <w:r w:rsidRPr="0089416F">
        <w:rPr>
          <w:rFonts w:ascii="Arial" w:hAnsi="Arial" w:cs="Arial"/>
          <w:sz w:val="20"/>
          <w:szCs w:val="20"/>
        </w:rPr>
        <w:t xml:space="preserve">Gregory </w:t>
      </w:r>
      <w:r w:rsidR="0089416F" w:rsidRPr="0089416F">
        <w:rPr>
          <w:rFonts w:ascii="Arial" w:hAnsi="Arial" w:cs="Arial"/>
          <w:sz w:val="20"/>
          <w:szCs w:val="20"/>
        </w:rPr>
        <w:t>Connor</w:t>
      </w:r>
    </w:p>
    <w:p w14:paraId="4A5B146B" w14:textId="76BAB284" w:rsidR="0089416F" w:rsidRDefault="00C76B79" w:rsidP="008C3D27">
      <w:pPr>
        <w:rPr>
          <w:rFonts w:ascii="Arial" w:hAnsi="Arial" w:cs="Arial"/>
          <w:sz w:val="20"/>
          <w:szCs w:val="20"/>
        </w:rPr>
      </w:pPr>
      <w:r w:rsidRPr="0089416F">
        <w:rPr>
          <w:rFonts w:ascii="Arial" w:hAnsi="Arial" w:cs="Arial"/>
          <w:sz w:val="20"/>
          <w:szCs w:val="20"/>
        </w:rPr>
        <w:t>Thomas J</w:t>
      </w:r>
      <w:r w:rsidR="0089416F">
        <w:rPr>
          <w:rFonts w:ascii="Arial" w:hAnsi="Arial" w:cs="Arial"/>
          <w:sz w:val="20"/>
          <w:szCs w:val="20"/>
        </w:rPr>
        <w:t xml:space="preserve">. </w:t>
      </w:r>
      <w:r w:rsidR="0089416F" w:rsidRPr="0089416F">
        <w:rPr>
          <w:rFonts w:ascii="Arial" w:hAnsi="Arial" w:cs="Arial"/>
          <w:sz w:val="20"/>
          <w:szCs w:val="20"/>
        </w:rPr>
        <w:t>Flavin</w:t>
      </w:r>
    </w:p>
    <w:p w14:paraId="2B580903" w14:textId="0378201D" w:rsidR="008C3D27" w:rsidRPr="0089416F" w:rsidRDefault="00C76B79" w:rsidP="008C3D27">
      <w:pPr>
        <w:rPr>
          <w:rFonts w:ascii="Arial" w:hAnsi="Arial" w:cs="Arial"/>
          <w:sz w:val="8"/>
          <w:szCs w:val="8"/>
        </w:rPr>
      </w:pPr>
      <w:r w:rsidRPr="0089416F">
        <w:rPr>
          <w:rFonts w:ascii="Arial" w:hAnsi="Arial" w:cs="Arial"/>
          <w:sz w:val="20"/>
          <w:szCs w:val="20"/>
        </w:rPr>
        <w:t>Brian G.</w:t>
      </w:r>
      <w:r w:rsidR="0089416F">
        <w:rPr>
          <w:rFonts w:ascii="Arial" w:hAnsi="Arial" w:cs="Arial"/>
          <w:sz w:val="20"/>
          <w:szCs w:val="20"/>
        </w:rPr>
        <w:t xml:space="preserve"> </w:t>
      </w:r>
      <w:r w:rsidR="0089416F" w:rsidRPr="0089416F">
        <w:rPr>
          <w:rFonts w:ascii="Arial" w:hAnsi="Arial" w:cs="Arial"/>
          <w:sz w:val="20"/>
          <w:szCs w:val="20"/>
        </w:rPr>
        <w:t>O'Kelly</w:t>
      </w:r>
    </w:p>
    <w:p w14:paraId="6B5E8B7C" w14:textId="77777777" w:rsidR="008C3D27" w:rsidRPr="00BA5828" w:rsidRDefault="008C3D27" w:rsidP="008C3D27">
      <w:pPr>
        <w:rPr>
          <w:rFonts w:ascii="Arial" w:hAnsi="Arial" w:cs="Arial"/>
        </w:rPr>
      </w:pPr>
    </w:p>
    <w:p w14:paraId="4DC6C80B" w14:textId="77777777" w:rsidR="0089416F" w:rsidRPr="0089416F" w:rsidRDefault="0089416F" w:rsidP="0089416F">
      <w:pPr>
        <w:jc w:val="both"/>
        <w:rPr>
          <w:rFonts w:ascii="Arial" w:hAnsi="Arial" w:cs="Arial"/>
          <w:b/>
          <w:bCs/>
        </w:rPr>
      </w:pPr>
      <w:r w:rsidRPr="0089416F">
        <w:rPr>
          <w:rFonts w:ascii="Arial" w:hAnsi="Arial" w:cs="Arial"/>
          <w:b/>
          <w:bCs/>
        </w:rPr>
        <w:t>Abstract</w:t>
      </w:r>
    </w:p>
    <w:p w14:paraId="248F13D0" w14:textId="5DF539BE" w:rsidR="008C3D27" w:rsidRPr="0089416F" w:rsidRDefault="0089416F" w:rsidP="0089416F">
      <w:pPr>
        <w:jc w:val="both"/>
        <w:rPr>
          <w:rFonts w:ascii="Arial" w:hAnsi="Arial" w:cs="Arial"/>
        </w:rPr>
      </w:pPr>
      <w:r w:rsidRPr="0089416F">
        <w:rPr>
          <w:rFonts w:ascii="Arial" w:hAnsi="Arial" w:cs="Arial"/>
        </w:rPr>
        <w:t xml:space="preserve">Although the US credit crisis precipitated it, the Irish credit crisis is an identifiably separate one, which might have occurred in the absence of the U.S. crash. The distinctive differences between them are notable. Almost all the apparent causal factors of the U.S. crisis are missing in the Irish case; and the same applies vice-versa. At a deeper level, we identify four common features of the two credit crises: capital bonanzas, irrational exuberance, regulatory imprudence, and moral hazard. The </w:t>
      </w:r>
      <w:proofErr w:type="gramStart"/>
      <w:r w:rsidRPr="0089416F">
        <w:rPr>
          <w:rFonts w:ascii="Arial" w:hAnsi="Arial" w:cs="Arial"/>
        </w:rPr>
        <w:t>particular manifestations</w:t>
      </w:r>
      <w:proofErr w:type="gramEnd"/>
      <w:r w:rsidRPr="0089416F">
        <w:rPr>
          <w:rFonts w:ascii="Arial" w:hAnsi="Arial" w:cs="Arial"/>
        </w:rPr>
        <w:t xml:space="preserve"> of these four “deep” common features are quite different in the two cases.</w:t>
      </w:r>
    </w:p>
    <w:p w14:paraId="2B6FEE4F" w14:textId="77777777" w:rsidR="008C3D27" w:rsidRPr="00BA5828" w:rsidRDefault="008C3D27" w:rsidP="008C3D27">
      <w:pPr>
        <w:rPr>
          <w:rFonts w:ascii="Arial" w:hAnsi="Arial" w:cs="Arial"/>
          <w:color w:val="0000FF"/>
          <w:sz w:val="20"/>
          <w:szCs w:val="20"/>
        </w:rPr>
      </w:pPr>
    </w:p>
    <w:p w14:paraId="001612FC" w14:textId="77777777" w:rsidR="008C3D27" w:rsidRPr="00BA5828" w:rsidRDefault="008C3D27" w:rsidP="008C3D27">
      <w:pPr>
        <w:rPr>
          <w:rFonts w:ascii="Arial" w:hAnsi="Arial" w:cs="Arial"/>
          <w:color w:val="0000FF"/>
          <w:sz w:val="20"/>
          <w:szCs w:val="20"/>
        </w:rPr>
      </w:pPr>
    </w:p>
    <w:p w14:paraId="69E30F8E" w14:textId="77777777" w:rsidR="008C3D27" w:rsidRPr="00BA5828" w:rsidRDefault="008C3D27" w:rsidP="008C3D27">
      <w:pPr>
        <w:rPr>
          <w:rFonts w:ascii="Arial" w:hAnsi="Arial" w:cs="Arial"/>
          <w:color w:val="0000FF"/>
          <w:sz w:val="20"/>
          <w:szCs w:val="20"/>
        </w:rPr>
      </w:pPr>
    </w:p>
    <w:p w14:paraId="46D8BBC3" w14:textId="77777777" w:rsidR="008C3D27" w:rsidRPr="00BA5828" w:rsidRDefault="008C3D27" w:rsidP="008C3D27">
      <w:pPr>
        <w:autoSpaceDE w:val="0"/>
        <w:autoSpaceDN w:val="0"/>
        <w:adjustRightInd w:val="0"/>
        <w:spacing w:after="0" w:line="240" w:lineRule="auto"/>
        <w:rPr>
          <w:rFonts w:ascii="Arial" w:hAnsi="Arial" w:cs="Arial"/>
        </w:rPr>
      </w:pPr>
      <w:r w:rsidRPr="00BA5828">
        <w:rPr>
          <w:rFonts w:ascii="Arial" w:hAnsi="Arial" w:cs="Arial"/>
        </w:rPr>
        <w:t>To view this article in its entirety please use the link provided below.</w:t>
      </w:r>
    </w:p>
    <w:p w14:paraId="03A81504" w14:textId="77777777" w:rsidR="008C3D27" w:rsidRPr="00BA5828" w:rsidRDefault="008C3D27" w:rsidP="008C3D27">
      <w:pPr>
        <w:autoSpaceDE w:val="0"/>
        <w:autoSpaceDN w:val="0"/>
        <w:adjustRightInd w:val="0"/>
        <w:spacing w:after="0" w:line="240" w:lineRule="auto"/>
        <w:rPr>
          <w:rFonts w:ascii="Arial" w:hAnsi="Arial" w:cs="Arial"/>
        </w:rPr>
      </w:pPr>
    </w:p>
    <w:bookmarkStart w:id="0" w:name="_Hlk138407096"/>
    <w:p w14:paraId="623AE084" w14:textId="73032E66" w:rsidR="008C3D27" w:rsidRPr="00BA5828" w:rsidRDefault="00C76B79" w:rsidP="008C3D27">
      <w:pPr>
        <w:rPr>
          <w:rFonts w:ascii="Arial" w:hAnsi="Arial" w:cs="Arial"/>
        </w:rPr>
      </w:pPr>
      <w:r>
        <w:rPr>
          <w:rFonts w:ascii="Arial" w:hAnsi="Arial" w:cs="Arial"/>
          <w:color w:val="4472C4" w:themeColor="accent1"/>
          <w:u w:val="single"/>
        </w:rPr>
        <w:fldChar w:fldCharType="begin"/>
      </w:r>
      <w:r>
        <w:rPr>
          <w:rFonts w:ascii="Arial" w:hAnsi="Arial" w:cs="Arial"/>
          <w:color w:val="4472C4" w:themeColor="accent1"/>
          <w:u w:val="single"/>
        </w:rPr>
        <w:instrText xml:space="preserve"> HYPERLINK "https://doi.org/10.1016/j.jimonfin.2011.11.005" </w:instrText>
      </w:r>
      <w:r>
        <w:rPr>
          <w:rFonts w:ascii="Arial" w:hAnsi="Arial" w:cs="Arial"/>
          <w:color w:val="4472C4" w:themeColor="accent1"/>
          <w:u w:val="single"/>
        </w:rPr>
      </w:r>
      <w:r>
        <w:rPr>
          <w:rFonts w:ascii="Arial" w:hAnsi="Arial" w:cs="Arial"/>
          <w:color w:val="4472C4" w:themeColor="accent1"/>
          <w:u w:val="single"/>
        </w:rPr>
        <w:fldChar w:fldCharType="separate"/>
      </w:r>
      <w:r w:rsidR="008C3D27" w:rsidRPr="00C76B79">
        <w:rPr>
          <w:rStyle w:val="Hyperlink"/>
          <w:rFonts w:ascii="Arial" w:hAnsi="Arial" w:cs="Arial"/>
        </w:rPr>
        <w:t>View Full Article</w:t>
      </w:r>
      <w:r>
        <w:rPr>
          <w:rFonts w:ascii="Arial" w:hAnsi="Arial" w:cs="Arial"/>
          <w:color w:val="4472C4" w:themeColor="accent1"/>
          <w:u w:val="single"/>
        </w:rPr>
        <w:fldChar w:fldCharType="end"/>
      </w:r>
      <w:bookmarkEnd w:id="0"/>
      <w:r w:rsidR="008C3D27" w:rsidRPr="00BA5828">
        <w:rPr>
          <w:rFonts w:ascii="Arial" w:hAnsi="Arial" w:cs="Arial"/>
          <w:color w:val="4472C4" w:themeColor="accent1"/>
        </w:rPr>
        <w:t xml:space="preserve"> </w:t>
      </w:r>
    </w:p>
    <w:p w14:paraId="07C40C49" w14:textId="77777777" w:rsidR="008C3D27" w:rsidRPr="00BA5828" w:rsidRDefault="008C3D27" w:rsidP="008C3D27">
      <w:pPr>
        <w:rPr>
          <w:rFonts w:ascii="Arial" w:hAnsi="Arial" w:cs="Arial"/>
          <w:color w:val="0000FF"/>
          <w:sz w:val="20"/>
          <w:szCs w:val="20"/>
        </w:rPr>
      </w:pPr>
    </w:p>
    <w:p w14:paraId="07180851" w14:textId="77777777" w:rsidR="008C3D27" w:rsidRPr="00BA5828" w:rsidRDefault="008C3D27" w:rsidP="008C3D27">
      <w:pPr>
        <w:rPr>
          <w:rFonts w:ascii="Arial" w:hAnsi="Arial" w:cs="Arial"/>
          <w:color w:val="0000FF"/>
          <w:sz w:val="20"/>
          <w:szCs w:val="20"/>
        </w:rPr>
      </w:pPr>
    </w:p>
    <w:p w14:paraId="4003BCF4" w14:textId="7420ADC3" w:rsidR="008C3D27" w:rsidRDefault="0089416F" w:rsidP="0089416F">
      <w:pPr>
        <w:tabs>
          <w:tab w:val="left" w:pos="2190"/>
        </w:tabs>
        <w:rPr>
          <w:rFonts w:ascii="Arial" w:hAnsi="Arial" w:cs="Arial"/>
          <w:color w:val="0000FF"/>
          <w:sz w:val="20"/>
          <w:szCs w:val="20"/>
        </w:rPr>
      </w:pPr>
      <w:r>
        <w:rPr>
          <w:rFonts w:ascii="Arial" w:hAnsi="Arial" w:cs="Arial"/>
          <w:color w:val="0000FF"/>
          <w:sz w:val="20"/>
          <w:szCs w:val="20"/>
        </w:rPr>
        <w:tab/>
      </w:r>
    </w:p>
    <w:p w14:paraId="24B7133E" w14:textId="1E69FFAD" w:rsidR="0089416F" w:rsidRDefault="0089416F" w:rsidP="0089416F">
      <w:pPr>
        <w:tabs>
          <w:tab w:val="left" w:pos="2190"/>
        </w:tabs>
        <w:rPr>
          <w:rFonts w:ascii="Arial" w:hAnsi="Arial" w:cs="Arial"/>
          <w:color w:val="0000FF"/>
          <w:sz w:val="20"/>
          <w:szCs w:val="20"/>
        </w:rPr>
      </w:pPr>
    </w:p>
    <w:p w14:paraId="638254A1" w14:textId="77777777" w:rsidR="0089416F" w:rsidRPr="00BA5828" w:rsidRDefault="0089416F" w:rsidP="0089416F">
      <w:pPr>
        <w:tabs>
          <w:tab w:val="left" w:pos="2190"/>
        </w:tabs>
        <w:rPr>
          <w:rFonts w:ascii="Arial" w:hAnsi="Arial" w:cs="Arial"/>
          <w:color w:val="0000FF"/>
          <w:sz w:val="20"/>
          <w:szCs w:val="20"/>
        </w:rPr>
      </w:pPr>
    </w:p>
    <w:p w14:paraId="6A74B8F3" w14:textId="77777777" w:rsidR="008C3D27" w:rsidRPr="00BA5828" w:rsidRDefault="008C3D27" w:rsidP="008C3D27">
      <w:pPr>
        <w:pBdr>
          <w:bottom w:val="single" w:sz="6" w:space="1" w:color="auto"/>
        </w:pBdr>
        <w:rPr>
          <w:rFonts w:ascii="Arial" w:hAnsi="Arial" w:cs="Arial"/>
          <w:color w:val="0000FF"/>
          <w:sz w:val="20"/>
          <w:szCs w:val="20"/>
        </w:rPr>
      </w:pPr>
    </w:p>
    <w:p w14:paraId="1AE83A17" w14:textId="1E5527FC" w:rsidR="008C3D27" w:rsidRDefault="008C3D27" w:rsidP="008C3D27">
      <w:pPr>
        <w:rPr>
          <w:rFonts w:ascii="Arial" w:hAnsi="Arial" w:cs="Arial"/>
          <w:sz w:val="24"/>
          <w:szCs w:val="24"/>
        </w:rPr>
      </w:pPr>
      <w:r w:rsidRPr="00BA5828">
        <w:rPr>
          <w:rFonts w:ascii="Arial" w:hAnsi="Arial" w:cs="Arial"/>
          <w:sz w:val="24"/>
          <w:szCs w:val="24"/>
        </w:rPr>
        <w:t xml:space="preserve">Recommended Citation </w:t>
      </w:r>
    </w:p>
    <w:p w14:paraId="43EBC277" w14:textId="4EA05A64" w:rsidR="00C76B79" w:rsidRPr="00BA5828" w:rsidRDefault="00C76B79" w:rsidP="008C3D27">
      <w:pPr>
        <w:rPr>
          <w:rFonts w:ascii="Arial" w:hAnsi="Arial" w:cs="Arial"/>
          <w:sz w:val="24"/>
          <w:szCs w:val="24"/>
        </w:rPr>
      </w:pPr>
      <w:bookmarkStart w:id="1" w:name="_Hlk138407169"/>
      <w:r w:rsidRPr="00C76B79">
        <w:rPr>
          <w:rFonts w:ascii="Arial" w:hAnsi="Arial" w:cs="Arial"/>
          <w:sz w:val="24"/>
          <w:szCs w:val="24"/>
        </w:rPr>
        <w:t xml:space="preserve">Connor, Gregory and Flavin, Thomas J and O'Kelly, Brian G., </w:t>
      </w:r>
      <w:bookmarkStart w:id="2" w:name="_Hlk138407148"/>
      <w:bookmarkEnd w:id="1"/>
      <w:r w:rsidRPr="00C76B79">
        <w:rPr>
          <w:rFonts w:ascii="Arial" w:hAnsi="Arial" w:cs="Arial"/>
          <w:sz w:val="24"/>
          <w:szCs w:val="24"/>
        </w:rPr>
        <w:t xml:space="preserve">The </w:t>
      </w:r>
      <w:proofErr w:type="gramStart"/>
      <w:r w:rsidRPr="00C76B79">
        <w:rPr>
          <w:rFonts w:ascii="Arial" w:hAnsi="Arial" w:cs="Arial"/>
          <w:sz w:val="24"/>
          <w:szCs w:val="24"/>
        </w:rPr>
        <w:t>US</w:t>
      </w:r>
      <w:proofErr w:type="gramEnd"/>
      <w:r w:rsidRPr="00C76B79">
        <w:rPr>
          <w:rFonts w:ascii="Arial" w:hAnsi="Arial" w:cs="Arial"/>
          <w:sz w:val="24"/>
          <w:szCs w:val="24"/>
        </w:rPr>
        <w:t xml:space="preserve"> and Irish Credit Crises: Their Distinctive Differences and Common Features</w:t>
      </w:r>
      <w:bookmarkEnd w:id="2"/>
      <w:r w:rsidRPr="00C76B79">
        <w:rPr>
          <w:rFonts w:ascii="Arial" w:hAnsi="Arial" w:cs="Arial"/>
          <w:sz w:val="24"/>
          <w:szCs w:val="24"/>
        </w:rPr>
        <w:t xml:space="preserve"> (March 8, 2010). </w:t>
      </w:r>
      <w:r w:rsidRPr="00C76B79">
        <w:rPr>
          <w:rFonts w:ascii="Arial" w:hAnsi="Arial" w:cs="Arial"/>
          <w:i/>
          <w:iCs/>
          <w:sz w:val="24"/>
          <w:szCs w:val="24"/>
        </w:rPr>
        <w:t>Journal of International Money and Finance</w:t>
      </w:r>
      <w:r>
        <w:rPr>
          <w:rFonts w:ascii="Arial" w:hAnsi="Arial" w:cs="Arial"/>
          <w:i/>
          <w:iCs/>
          <w:sz w:val="24"/>
          <w:szCs w:val="24"/>
        </w:rPr>
        <w:t xml:space="preserve">. </w:t>
      </w:r>
      <w:r w:rsidRPr="00C76B79">
        <w:rPr>
          <w:rFonts w:ascii="Arial" w:hAnsi="Arial" w:cs="Arial"/>
          <w:sz w:val="24"/>
          <w:szCs w:val="24"/>
        </w:rPr>
        <w:t>https://doi.org/10.1016/j.jimonfin.2011.11.005</w:t>
      </w:r>
    </w:p>
    <w:p w14:paraId="38549245" w14:textId="77777777" w:rsidR="008C3D27" w:rsidRDefault="008C3D27"/>
    <w:sectPr w:rsidR="008C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27"/>
    <w:rsid w:val="004513A9"/>
    <w:rsid w:val="0089416F"/>
    <w:rsid w:val="008C3D27"/>
    <w:rsid w:val="00C7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C0D6"/>
  <w15:chartTrackingRefBased/>
  <w15:docId w15:val="{A74E86B2-F248-467E-A9C0-DF21035A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79"/>
    <w:pPr>
      <w:spacing w:after="160" w:line="259"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79"/>
    <w:rPr>
      <w:color w:val="0563C1" w:themeColor="hyperlink"/>
      <w:u w:val="single"/>
    </w:rPr>
  </w:style>
  <w:style w:type="character" w:styleId="UnresolvedMention">
    <w:name w:val="Unresolved Mention"/>
    <w:basedOn w:val="DefaultParagraphFont"/>
    <w:uiPriority w:val="99"/>
    <w:semiHidden/>
    <w:unhideWhenUsed/>
    <w:rsid w:val="00C7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190</Words>
  <Characters>1053</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Shavonda</dc:creator>
  <cp:keywords/>
  <dc:description/>
  <cp:lastModifiedBy>Brandon, Shavonda</cp:lastModifiedBy>
  <cp:revision>2</cp:revision>
  <dcterms:created xsi:type="dcterms:W3CDTF">2023-06-23T14:37:00Z</dcterms:created>
  <dcterms:modified xsi:type="dcterms:W3CDTF">2023-06-23T14:37:00Z</dcterms:modified>
</cp:coreProperties>
</file>