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CF39" w14:textId="32CBC7CC" w:rsidR="00B14C07" w:rsidRPr="00B14C07" w:rsidRDefault="00B14C07" w:rsidP="00B14C07">
      <w:pPr>
        <w:pBdr>
          <w:bottom w:val="single" w:sz="6" w:space="1" w:color="000000"/>
        </w:pBdr>
        <w:spacing w:after="16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44"/>
          <w:szCs w:val="44"/>
        </w:rPr>
        <w:t>Credit Union Times</w:t>
      </w:r>
    </w:p>
    <w:p w14:paraId="047BB359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</w:p>
    <w:p w14:paraId="189C17B4" w14:textId="4FF4A55B" w:rsidR="00B14C07" w:rsidRPr="00B14C07" w:rsidRDefault="00B14C07" w:rsidP="00B14C07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10 October 2014</w:t>
      </w:r>
    </w:p>
    <w:p w14:paraId="37461AF9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</w:p>
    <w:p w14:paraId="7C651A4B" w14:textId="7843D82E" w:rsidR="00B14C07" w:rsidRPr="00B14C07" w:rsidRDefault="00B14C07" w:rsidP="00B14C07">
      <w:pPr>
        <w:spacing w:after="240"/>
        <w:rPr>
          <w:rFonts w:ascii="Times New Roman" w:eastAsia="Times New Roman" w:hAnsi="Times New Roman" w:cs="Times New Roman"/>
        </w:rPr>
      </w:pPr>
      <w:r w:rsidRPr="00B14C07">
        <w:rPr>
          <w:rFonts w:ascii="Arial" w:eastAsia="Times New Roman" w:hAnsi="Arial" w:cs="Arial"/>
          <w:color w:val="000000"/>
          <w:sz w:val="44"/>
          <w:szCs w:val="44"/>
        </w:rPr>
        <w:t>FHLB Merger Promotes Scale</w:t>
      </w:r>
      <w:r w:rsidRPr="00B14C07">
        <w:rPr>
          <w:rFonts w:ascii="Times New Roman" w:eastAsia="Times New Roman" w:hAnsi="Times New Roman" w:cs="Times New Roman"/>
        </w:rPr>
        <w:br/>
      </w:r>
      <w:r w:rsidRPr="00B14C07">
        <w:rPr>
          <w:rFonts w:ascii="Arial" w:eastAsia="Times New Roman" w:hAnsi="Arial" w:cs="Arial"/>
        </w:rPr>
        <w:t xml:space="preserve">Michael </w:t>
      </w:r>
      <w:proofErr w:type="spellStart"/>
      <w:r w:rsidRPr="00B14C07">
        <w:rPr>
          <w:rFonts w:ascii="Arial" w:eastAsia="Times New Roman" w:hAnsi="Arial" w:cs="Arial"/>
        </w:rPr>
        <w:t>Muckian</w:t>
      </w:r>
      <w:proofErr w:type="spellEnd"/>
    </w:p>
    <w:p w14:paraId="4DAEB6A4" w14:textId="77777777" w:rsidR="00B14C07" w:rsidRPr="00B14C07" w:rsidRDefault="00B14C07" w:rsidP="00B14C07">
      <w:pPr>
        <w:spacing w:after="160"/>
        <w:rPr>
          <w:rFonts w:ascii="Times New Roman" w:eastAsia="Times New Roman" w:hAnsi="Times New Roman" w:cs="Times New Roman"/>
        </w:rPr>
      </w:pPr>
      <w:r w:rsidRPr="00B14C07">
        <w:rPr>
          <w:rFonts w:ascii="Arial" w:eastAsia="Times New Roman" w:hAnsi="Arial" w:cs="Arial"/>
          <w:b/>
          <w:bCs/>
          <w:color w:val="000000"/>
          <w:sz w:val="22"/>
          <w:szCs w:val="22"/>
        </w:rPr>
        <w:t>Summary</w:t>
      </w:r>
    </w:p>
    <w:p w14:paraId="4BBBCA8A" w14:textId="0D5CDFD2" w:rsidR="00B14C07" w:rsidRPr="00B14C07" w:rsidRDefault="00B14C07" w:rsidP="00B14C0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The Federal Home Loan Bank network’s </w:t>
      </w:r>
      <w:r w:rsidR="007E6909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proposal of a 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merger between the Des Moines and Seattle banks bets on </w:t>
      </w:r>
      <w:r w:rsidR="007E6909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increased success from the merger. </w:t>
      </w:r>
      <w:r w:rsidRPr="00B14C07">
        <w:rPr>
          <w:rFonts w:ascii="Times New Roman" w:eastAsia="Times New Roman" w:hAnsi="Times New Roman" w:cs="Times New Roman"/>
        </w:rPr>
        <w:br/>
      </w:r>
      <w:r w:rsidRPr="00B14C07">
        <w:rPr>
          <w:rFonts w:ascii="Times New Roman" w:eastAsia="Times New Roman" w:hAnsi="Times New Roman" w:cs="Times New Roman"/>
        </w:rPr>
        <w:br/>
      </w:r>
      <w:r w:rsidRPr="00B14C07">
        <w:rPr>
          <w:rFonts w:ascii="Times New Roman" w:eastAsia="Times New Roman" w:hAnsi="Times New Roman" w:cs="Times New Roman"/>
        </w:rPr>
        <w:br/>
      </w:r>
      <w:r w:rsidRPr="00B14C07">
        <w:rPr>
          <w:rFonts w:ascii="Times New Roman" w:eastAsia="Times New Roman" w:hAnsi="Times New Roman" w:cs="Times New Roman"/>
        </w:rPr>
        <w:br/>
      </w:r>
      <w:r w:rsidRPr="00B14C07">
        <w:rPr>
          <w:rFonts w:ascii="Times New Roman" w:eastAsia="Times New Roman" w:hAnsi="Times New Roman" w:cs="Times New Roman"/>
        </w:rPr>
        <w:br/>
      </w:r>
    </w:p>
    <w:p w14:paraId="7E55FE33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  <w:r w:rsidRPr="00B14C07">
        <w:rPr>
          <w:rFonts w:ascii="Arial" w:eastAsia="Times New Roman" w:hAnsi="Arial" w:cs="Arial"/>
          <w:color w:val="000000"/>
          <w:sz w:val="22"/>
          <w:szCs w:val="22"/>
        </w:rPr>
        <w:t>To view this article in its entirety please use the link provided below.</w:t>
      </w:r>
    </w:p>
    <w:p w14:paraId="4405E436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</w:p>
    <w:p w14:paraId="3110C4DC" w14:textId="03564AA2" w:rsidR="00B14C07" w:rsidRPr="00B14C07" w:rsidRDefault="00B14C07" w:rsidP="00B14C07">
      <w:pPr>
        <w:spacing w:after="160"/>
        <w:rPr>
          <w:rFonts w:ascii="Times New Roman" w:eastAsia="Times New Roman" w:hAnsi="Times New Roman" w:cs="Times New Roman"/>
        </w:rPr>
      </w:pPr>
      <w:hyperlink r:id="rId4" w:history="1">
        <w:r w:rsidRPr="00B14C07">
          <w:rPr>
            <w:rStyle w:val="Hyperlink"/>
            <w:rFonts w:ascii="Arial" w:eastAsia="Times New Roman" w:hAnsi="Arial" w:cs="Arial"/>
            <w:sz w:val="22"/>
            <w:szCs w:val="22"/>
          </w:rPr>
          <w:t>View Full Article </w:t>
        </w:r>
      </w:hyperlink>
    </w:p>
    <w:p w14:paraId="6B5CEC35" w14:textId="77777777" w:rsidR="00B14C07" w:rsidRPr="00B14C07" w:rsidRDefault="00B14C07" w:rsidP="00B14C07">
      <w:pPr>
        <w:spacing w:after="240"/>
        <w:rPr>
          <w:rFonts w:ascii="Times New Roman" w:eastAsia="Times New Roman" w:hAnsi="Times New Roman" w:cs="Times New Roman"/>
        </w:rPr>
      </w:pPr>
    </w:p>
    <w:p w14:paraId="66DEA79C" w14:textId="77777777" w:rsidR="00B14C07" w:rsidRPr="00B14C07" w:rsidRDefault="00B14C07" w:rsidP="00B14C07">
      <w:pPr>
        <w:pBdr>
          <w:bottom w:val="single" w:sz="6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B14C07">
        <w:rPr>
          <w:rFonts w:ascii="Times New Roman" w:eastAsia="Times New Roman" w:hAnsi="Times New Roman" w:cs="Times New Roman"/>
        </w:rPr>
        <w:t> </w:t>
      </w:r>
    </w:p>
    <w:p w14:paraId="06D0FD58" w14:textId="77777777" w:rsidR="00B14C07" w:rsidRPr="00B14C07" w:rsidRDefault="00B14C07" w:rsidP="00B14C07">
      <w:pPr>
        <w:spacing w:after="160"/>
        <w:rPr>
          <w:rFonts w:ascii="Times New Roman" w:eastAsia="Times New Roman" w:hAnsi="Times New Roman" w:cs="Times New Roman"/>
        </w:rPr>
      </w:pPr>
      <w:r w:rsidRPr="00B14C07">
        <w:rPr>
          <w:rFonts w:ascii="Arial" w:eastAsia="Times New Roman" w:hAnsi="Arial" w:cs="Arial"/>
          <w:b/>
          <w:bCs/>
          <w:color w:val="000000"/>
        </w:rPr>
        <w:t>Recommended Citation</w:t>
      </w:r>
    </w:p>
    <w:p w14:paraId="307F00F6" w14:textId="51254600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  <w:proofErr w:type="spellStart"/>
      <w:r w:rsidRPr="00B14C0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Muckian</w:t>
      </w:r>
      <w:proofErr w:type="spellEnd"/>
      <w:r w:rsidRPr="00B14C0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Michael. “FHLB Merger Promotes Scale.” Credit Union Times, October 10, 2014. https://www.cutimes.com/2014/10/10/fhlb-merger-promotes-scale/?slreturn=20220607131222.</w:t>
      </w:r>
    </w:p>
    <w:p w14:paraId="5FB87700" w14:textId="77777777" w:rsidR="00B14C07" w:rsidRDefault="00B14C07"/>
    <w:sectPr w:rsidR="00B1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07"/>
    <w:rsid w:val="007E6909"/>
    <w:rsid w:val="00B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851F8"/>
  <w15:chartTrackingRefBased/>
  <w15:docId w15:val="{CA6CFE53-87BD-2C4E-8D1E-A8E8022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4C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ma.cc/5QDZ-DP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Tovah Lu</dc:creator>
  <cp:keywords/>
  <dc:description/>
  <cp:lastModifiedBy>Tovah Lu</cp:lastModifiedBy>
  <cp:revision>1</cp:revision>
  <dcterms:created xsi:type="dcterms:W3CDTF">2022-07-07T17:14:00Z</dcterms:created>
  <dcterms:modified xsi:type="dcterms:W3CDTF">2022-07-07T17:20:00Z</dcterms:modified>
</cp:coreProperties>
</file>